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5A6BA2" w14:paraId="776D7728" w14:textId="77777777" w:rsidTr="005A6BA2">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60"/>
            </w:tblGrid>
            <w:tr w:rsidR="005A6BA2" w14:paraId="4410037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380"/>
                    <w:gridCol w:w="4380"/>
                  </w:tblGrid>
                  <w:tr w:rsidR="005A6BA2" w14:paraId="2C46D92B" w14:textId="77777777">
                    <w:tc>
                      <w:tcPr>
                        <w:tcW w:w="2500" w:type="pct"/>
                      </w:tcPr>
                      <w:tbl>
                        <w:tblPr>
                          <w:tblW w:w="5000" w:type="pct"/>
                          <w:tblCellMar>
                            <w:left w:w="0" w:type="dxa"/>
                            <w:right w:w="0" w:type="dxa"/>
                          </w:tblCellMar>
                          <w:tblLook w:val="04A0" w:firstRow="1" w:lastRow="0" w:firstColumn="1" w:lastColumn="0" w:noHBand="0" w:noVBand="1"/>
                        </w:tblPr>
                        <w:tblGrid>
                          <w:gridCol w:w="4380"/>
                        </w:tblGrid>
                        <w:tr w:rsidR="005A6BA2" w14:paraId="08D44419" w14:textId="77777777">
                          <w:tc>
                            <w:tcPr>
                              <w:tcW w:w="0" w:type="auto"/>
                              <w:tcBorders>
                                <w:top w:val="single" w:sz="12" w:space="0" w:color="AEAEAE"/>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4380"/>
                              </w:tblGrid>
                              <w:tr w:rsidR="005A6BA2" w14:paraId="0D7554D8" w14:textId="77777777">
                                <w:tc>
                                  <w:tcPr>
                                    <w:tcW w:w="0" w:type="auto"/>
                                    <w:vAlign w:val="center"/>
                                    <w:hideMark/>
                                  </w:tcPr>
                                  <w:p w14:paraId="6875E23E" w14:textId="58E567FD" w:rsidR="005A6BA2" w:rsidRDefault="005A6BA2">
                                    <w:pPr>
                                      <w:jc w:val="center"/>
                                      <w:rPr>
                                        <w:rFonts w:ascii="Arial" w:hAnsi="Arial" w:cs="Arial"/>
                                        <w:sz w:val="24"/>
                                        <w:szCs w:val="24"/>
                                      </w:rPr>
                                    </w:pPr>
                                    <w:r>
                                      <w:rPr>
                                        <w:rFonts w:ascii="Arial" w:hAnsi="Arial" w:cs="Arial"/>
                                        <w:noProof/>
                                        <w:sz w:val="24"/>
                                        <w:szCs w:val="24"/>
                                      </w:rPr>
                                      <w:drawing>
                                        <wp:inline distT="0" distB="0" distL="0" distR="0" wp14:anchorId="1F706E94" wp14:editId="70ED410C">
                                          <wp:extent cx="1905000" cy="1076325"/>
                                          <wp:effectExtent l="0" t="0" r="0" b="9525"/>
                                          <wp:docPr id="2" name="Picture 2" descr="Closur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ure 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inline>
                                      </w:drawing>
                                    </w:r>
                                  </w:p>
                                </w:tc>
                              </w:tr>
                            </w:tbl>
                            <w:p w14:paraId="6944A0A8" w14:textId="77777777" w:rsidR="005A6BA2" w:rsidRDefault="005A6BA2">
                              <w:pPr>
                                <w:rPr>
                                  <w:rFonts w:ascii="Times New Roman" w:eastAsia="Times New Roman" w:hAnsi="Times New Roman" w:cs="Times New Roman"/>
                                  <w:color w:val="auto"/>
                                  <w:sz w:val="20"/>
                                  <w:szCs w:val="20"/>
                                </w:rPr>
                              </w:pPr>
                            </w:p>
                          </w:tc>
                        </w:tr>
                      </w:tbl>
                      <w:p w14:paraId="5245183F" w14:textId="77777777" w:rsidR="005A6BA2" w:rsidRDefault="005A6BA2">
                        <w:pPr>
                          <w:rPr>
                            <w:rFonts w:ascii="Arial" w:hAnsi="Arial" w:cs="Arial"/>
                            <w:vanish/>
                            <w:sz w:val="24"/>
                            <w:szCs w:val="24"/>
                          </w:rPr>
                        </w:pPr>
                      </w:p>
                      <w:tbl>
                        <w:tblPr>
                          <w:tblW w:w="5000" w:type="pct"/>
                          <w:tblCellMar>
                            <w:left w:w="0" w:type="dxa"/>
                            <w:right w:w="0" w:type="dxa"/>
                          </w:tblCellMar>
                          <w:tblLook w:val="04A0" w:firstRow="1" w:lastRow="0" w:firstColumn="1" w:lastColumn="0" w:noHBand="0" w:noVBand="1"/>
                        </w:tblPr>
                        <w:tblGrid>
                          <w:gridCol w:w="4380"/>
                        </w:tblGrid>
                        <w:tr w:rsidR="005A6BA2" w14:paraId="44BF6509" w14:textId="77777777">
                          <w:tc>
                            <w:tcPr>
                              <w:tcW w:w="0" w:type="auto"/>
                              <w:tcMar>
                                <w:top w:w="150" w:type="dxa"/>
                                <w:left w:w="150" w:type="dxa"/>
                                <w:bottom w:w="150" w:type="dxa"/>
                                <w:right w:w="150" w:type="dxa"/>
                              </w:tcMar>
                              <w:vAlign w:val="center"/>
                              <w:hideMark/>
                            </w:tcPr>
                            <w:p w14:paraId="3FC00653" w14:textId="77777777" w:rsidR="005A6BA2" w:rsidRDefault="005A6BA2">
                              <w:pPr>
                                <w:rPr>
                                  <w:rFonts w:ascii="Arial" w:hAnsi="Arial" w:cs="Arial"/>
                                  <w:sz w:val="24"/>
                                  <w:szCs w:val="24"/>
                                </w:rPr>
                              </w:pPr>
                              <w:r>
                                <w:rPr>
                                  <w:rFonts w:ascii="Arial" w:hAnsi="Arial" w:cs="Arial"/>
                                  <w:b/>
                                  <w:bCs/>
                                  <w:sz w:val="24"/>
                                  <w:szCs w:val="24"/>
                                </w:rPr>
                                <w:t xml:space="preserve">Road Closures along Chestnut Avenue, between Nebraska and </w:t>
                              </w:r>
                              <w:proofErr w:type="spellStart"/>
                              <w:r>
                                <w:rPr>
                                  <w:rFonts w:ascii="Arial" w:hAnsi="Arial" w:cs="Arial"/>
                                  <w:b/>
                                  <w:bCs/>
                                  <w:sz w:val="24"/>
                                  <w:szCs w:val="24"/>
                                </w:rPr>
                                <w:t>Kamm</w:t>
                              </w:r>
                              <w:proofErr w:type="spellEnd"/>
                              <w:r>
                                <w:rPr>
                                  <w:rFonts w:ascii="Arial" w:hAnsi="Arial" w:cs="Arial"/>
                                  <w:b/>
                                  <w:bCs/>
                                  <w:sz w:val="24"/>
                                  <w:szCs w:val="24"/>
                                </w:rPr>
                                <w:t xml:space="preserve"> avenues; and Mountain View Avenue, between Cedar and Peach avenues, in Fresno County.</w:t>
                              </w:r>
                              <w:r>
                                <w:rPr>
                                  <w:rFonts w:ascii="Arial" w:hAnsi="Arial" w:cs="Arial"/>
                                  <w:b/>
                                  <w:bCs/>
                                  <w:sz w:val="24"/>
                                  <w:szCs w:val="24"/>
                                </w:rPr>
                                <w:br/>
                              </w:r>
                              <w:r>
                                <w:rPr>
                                  <w:rFonts w:ascii="Arial" w:hAnsi="Arial" w:cs="Arial"/>
                                  <w:b/>
                                  <w:bCs/>
                                  <w:sz w:val="24"/>
                                  <w:szCs w:val="24"/>
                                </w:rPr>
                                <w:br/>
                                <w:t>Work includes the construction of a high-speed rail overcrossing. </w:t>
                              </w:r>
                              <w:r>
                                <w:rPr>
                                  <w:rFonts w:ascii="Arial" w:hAnsi="Arial" w:cs="Arial"/>
                                  <w:b/>
                                  <w:bCs/>
                                  <w:sz w:val="24"/>
                                  <w:szCs w:val="24"/>
                                </w:rPr>
                                <w:br/>
                              </w:r>
                              <w:r>
                                <w:rPr>
                                  <w:rFonts w:ascii="Arial" w:hAnsi="Arial" w:cs="Arial"/>
                                  <w:b/>
                                  <w:bCs/>
                                  <w:sz w:val="24"/>
                                  <w:szCs w:val="24"/>
                                </w:rPr>
                                <w:br/>
                                <w:t>Work will continue through February 2023.</w:t>
                              </w:r>
                            </w:p>
                          </w:tc>
                        </w:tr>
                      </w:tbl>
                      <w:p w14:paraId="7D93DDA9" w14:textId="77777777" w:rsidR="005A6BA2" w:rsidRDefault="005A6BA2">
                        <w:pPr>
                          <w:rPr>
                            <w:rFonts w:eastAsia="Times New Roman"/>
                            <w:color w:val="auto"/>
                          </w:rPr>
                        </w:pPr>
                      </w:p>
                    </w:tc>
                    <w:tc>
                      <w:tcPr>
                        <w:tcW w:w="2500" w:type="pct"/>
                      </w:tcPr>
                      <w:tbl>
                        <w:tblPr>
                          <w:tblW w:w="5000" w:type="pct"/>
                          <w:tblCellMar>
                            <w:left w:w="0" w:type="dxa"/>
                            <w:right w:w="0" w:type="dxa"/>
                          </w:tblCellMar>
                          <w:tblLook w:val="04A0" w:firstRow="1" w:lastRow="0" w:firstColumn="1" w:lastColumn="0" w:noHBand="0" w:noVBand="1"/>
                        </w:tblPr>
                        <w:tblGrid>
                          <w:gridCol w:w="4380"/>
                        </w:tblGrid>
                        <w:tr w:rsidR="005A6BA2" w14:paraId="1E5073D3" w14:textId="77777777">
                          <w:tc>
                            <w:tcPr>
                              <w:tcW w:w="0" w:type="auto"/>
                              <w:tcBorders>
                                <w:top w:val="single" w:sz="12" w:space="0" w:color="AEAEAE"/>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4380"/>
                              </w:tblGrid>
                              <w:tr w:rsidR="005A6BA2" w14:paraId="4F97C043" w14:textId="77777777">
                                <w:tc>
                                  <w:tcPr>
                                    <w:tcW w:w="0" w:type="auto"/>
                                    <w:vAlign w:val="center"/>
                                    <w:hideMark/>
                                  </w:tcPr>
                                  <w:p w14:paraId="2CABA2F8" w14:textId="56A0B16C" w:rsidR="005A6BA2" w:rsidRDefault="005A6BA2">
                                    <w:pPr>
                                      <w:jc w:val="center"/>
                                      <w:rPr>
                                        <w:rFonts w:ascii="Arial" w:hAnsi="Arial" w:cs="Arial"/>
                                        <w:sz w:val="24"/>
                                        <w:szCs w:val="24"/>
                                      </w:rPr>
                                    </w:pPr>
                                    <w:r>
                                      <w:rPr>
                                        <w:rFonts w:ascii="Arial" w:hAnsi="Arial" w:cs="Arial"/>
                                        <w:noProof/>
                                        <w:sz w:val="24"/>
                                        <w:szCs w:val="24"/>
                                      </w:rPr>
                                      <w:drawing>
                                        <wp:inline distT="0" distB="0" distL="0" distR="0" wp14:anchorId="374EE361" wp14:editId="7C3349BC">
                                          <wp:extent cx="1905000" cy="1076325"/>
                                          <wp:effectExtent l="0" t="0" r="0" b="9525"/>
                                          <wp:docPr id="1" name="Picture 1" descr="Detou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our 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inline>
                                      </w:drawing>
                                    </w:r>
                                  </w:p>
                                </w:tc>
                              </w:tr>
                            </w:tbl>
                            <w:p w14:paraId="0BB79EB6" w14:textId="77777777" w:rsidR="005A6BA2" w:rsidRDefault="005A6BA2">
                              <w:pPr>
                                <w:rPr>
                                  <w:rFonts w:ascii="Times New Roman" w:eastAsia="Times New Roman" w:hAnsi="Times New Roman" w:cs="Times New Roman"/>
                                  <w:color w:val="auto"/>
                                  <w:sz w:val="20"/>
                                  <w:szCs w:val="20"/>
                                </w:rPr>
                              </w:pPr>
                            </w:p>
                          </w:tc>
                        </w:tr>
                      </w:tbl>
                      <w:p w14:paraId="0F7838FA" w14:textId="77777777" w:rsidR="005A6BA2" w:rsidRDefault="005A6BA2">
                        <w:pPr>
                          <w:rPr>
                            <w:rFonts w:ascii="Arial" w:hAnsi="Arial" w:cs="Arial"/>
                            <w:vanish/>
                            <w:sz w:val="24"/>
                            <w:szCs w:val="24"/>
                          </w:rPr>
                        </w:pPr>
                      </w:p>
                      <w:tbl>
                        <w:tblPr>
                          <w:tblW w:w="5000" w:type="pct"/>
                          <w:tblCellMar>
                            <w:left w:w="0" w:type="dxa"/>
                            <w:right w:w="0" w:type="dxa"/>
                          </w:tblCellMar>
                          <w:tblLook w:val="04A0" w:firstRow="1" w:lastRow="0" w:firstColumn="1" w:lastColumn="0" w:noHBand="0" w:noVBand="1"/>
                        </w:tblPr>
                        <w:tblGrid>
                          <w:gridCol w:w="4380"/>
                        </w:tblGrid>
                        <w:tr w:rsidR="005A6BA2" w14:paraId="39DD19E0" w14:textId="77777777">
                          <w:tc>
                            <w:tcPr>
                              <w:tcW w:w="0" w:type="auto"/>
                              <w:tcMar>
                                <w:top w:w="150" w:type="dxa"/>
                                <w:left w:w="150" w:type="dxa"/>
                                <w:bottom w:w="150" w:type="dxa"/>
                                <w:right w:w="150" w:type="dxa"/>
                              </w:tcMar>
                              <w:vAlign w:val="center"/>
                              <w:hideMark/>
                            </w:tcPr>
                            <w:p w14:paraId="122E81B3" w14:textId="77777777" w:rsidR="005A6BA2" w:rsidRDefault="005A6BA2">
                              <w:pPr>
                                <w:rPr>
                                  <w:rFonts w:ascii="Arial" w:hAnsi="Arial" w:cs="Arial"/>
                                  <w:sz w:val="24"/>
                                  <w:szCs w:val="24"/>
                                </w:rPr>
                              </w:pPr>
                              <w:r>
                                <w:rPr>
                                  <w:rFonts w:ascii="Arial" w:hAnsi="Arial" w:cs="Arial"/>
                                  <w:b/>
                                  <w:bCs/>
                                  <w:sz w:val="24"/>
                                  <w:szCs w:val="24"/>
                                </w:rPr>
                                <w:t>NORTHBOUND TRAFFIC (CHESTNUT AVENUE)</w:t>
                              </w:r>
                            </w:p>
                            <w:p w14:paraId="1D327051" w14:textId="77777777" w:rsidR="005A6BA2" w:rsidRDefault="005A6BA2">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Traffic going northbound on Chestnut Ave will be detoured west on </w:t>
                              </w:r>
                              <w:proofErr w:type="spellStart"/>
                              <w:r>
                                <w:rPr>
                                  <w:rFonts w:ascii="Arial" w:eastAsia="Times New Roman" w:hAnsi="Arial" w:cs="Arial"/>
                                  <w:sz w:val="24"/>
                                  <w:szCs w:val="24"/>
                                </w:rPr>
                                <w:t>Conejo</w:t>
                              </w:r>
                              <w:proofErr w:type="spellEnd"/>
                              <w:r>
                                <w:rPr>
                                  <w:rFonts w:ascii="Arial" w:eastAsia="Times New Roman" w:hAnsi="Arial" w:cs="Arial"/>
                                  <w:sz w:val="24"/>
                                  <w:szCs w:val="24"/>
                                </w:rPr>
                                <w:t xml:space="preserve"> Avenue, north on Cedar Avenue, east on Nebraska Avenue, then north on Chestnut Avenue.</w:t>
                              </w:r>
                            </w:p>
                            <w:p w14:paraId="330BA76C" w14:textId="77777777" w:rsidR="005A6BA2" w:rsidRDefault="005A6BA2">
                              <w:pPr>
                                <w:rPr>
                                  <w:rFonts w:ascii="Arial" w:hAnsi="Arial" w:cs="Arial"/>
                                  <w:sz w:val="24"/>
                                  <w:szCs w:val="24"/>
                                </w:rPr>
                              </w:pPr>
                              <w:r>
                                <w:rPr>
                                  <w:rFonts w:ascii="Arial" w:hAnsi="Arial" w:cs="Arial"/>
                                  <w:sz w:val="24"/>
                                  <w:szCs w:val="24"/>
                                </w:rPr>
                                <w:br/>
                              </w:r>
                              <w:r>
                                <w:rPr>
                                  <w:rFonts w:ascii="Arial" w:hAnsi="Arial" w:cs="Arial"/>
                                  <w:b/>
                                  <w:bCs/>
                                  <w:sz w:val="24"/>
                                  <w:szCs w:val="24"/>
                                </w:rPr>
                                <w:t>SOUTHBOUND TRAFFIC (CHESTNUT AVENUE)</w:t>
                              </w:r>
                            </w:p>
                            <w:p w14:paraId="6122A576" w14:textId="77777777" w:rsidR="005A6BA2" w:rsidRDefault="005A6BA2">
                              <w:pPr>
                                <w:numPr>
                                  <w:ilvl w:val="0"/>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Traffic going southbound on Chestnut Avenue will be detoured west on Nebraska Avenue, south on Cedar Avenue, east on </w:t>
                              </w:r>
                              <w:proofErr w:type="spellStart"/>
                              <w:r>
                                <w:rPr>
                                  <w:rFonts w:ascii="Arial" w:eastAsia="Times New Roman" w:hAnsi="Arial" w:cs="Arial"/>
                                  <w:sz w:val="24"/>
                                  <w:szCs w:val="24"/>
                                </w:rPr>
                                <w:t>Conejo</w:t>
                              </w:r>
                              <w:proofErr w:type="spellEnd"/>
                              <w:r>
                                <w:rPr>
                                  <w:rFonts w:ascii="Arial" w:eastAsia="Times New Roman" w:hAnsi="Arial" w:cs="Arial"/>
                                  <w:sz w:val="24"/>
                                  <w:szCs w:val="24"/>
                                </w:rPr>
                                <w:t xml:space="preserve"> Avenue, then south on Chestnut Avenue.</w:t>
                              </w:r>
                            </w:p>
                            <w:p w14:paraId="093287CC" w14:textId="77777777" w:rsidR="005A6BA2" w:rsidRDefault="005A6BA2">
                              <w:pPr>
                                <w:rPr>
                                  <w:rFonts w:ascii="Arial" w:hAnsi="Arial" w:cs="Arial"/>
                                  <w:sz w:val="24"/>
                                  <w:szCs w:val="24"/>
                                </w:rPr>
                              </w:pPr>
                              <w:r>
                                <w:rPr>
                                  <w:rFonts w:ascii="Arial" w:hAnsi="Arial" w:cs="Arial"/>
                                  <w:sz w:val="24"/>
                                  <w:szCs w:val="24"/>
                                </w:rPr>
                                <w:br/>
                              </w:r>
                              <w:r>
                                <w:rPr>
                                  <w:rFonts w:ascii="Arial" w:hAnsi="Arial" w:cs="Arial"/>
                                  <w:b/>
                                  <w:bCs/>
                                  <w:sz w:val="24"/>
                                  <w:szCs w:val="24"/>
                                </w:rPr>
                                <w:t>EASTBOUND TRAFFIC (MOUNTAIN VIEW AVENUE)</w:t>
                              </w:r>
                            </w:p>
                            <w:p w14:paraId="72904E1C" w14:textId="77777777" w:rsidR="005A6BA2" w:rsidRDefault="005A6BA2">
                              <w:pPr>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Traffic going eastbound on Mountain View Avenue will be detoured north on Cedar Avenue, east on Nebraska Avenue, south on Peach Avenue, then east on Mountain View Avenue.</w:t>
                              </w:r>
                            </w:p>
                            <w:p w14:paraId="2511806F" w14:textId="77777777" w:rsidR="005A6BA2" w:rsidRDefault="005A6BA2">
                              <w:pPr>
                                <w:rPr>
                                  <w:rFonts w:ascii="Arial" w:hAnsi="Arial" w:cs="Arial"/>
                                  <w:sz w:val="24"/>
                                  <w:szCs w:val="24"/>
                                </w:rPr>
                              </w:pPr>
                              <w:r>
                                <w:rPr>
                                  <w:rFonts w:ascii="Arial" w:hAnsi="Arial" w:cs="Arial"/>
                                  <w:sz w:val="24"/>
                                  <w:szCs w:val="24"/>
                                </w:rPr>
                                <w:br/>
                              </w:r>
                              <w:r>
                                <w:rPr>
                                  <w:rFonts w:ascii="Arial" w:hAnsi="Arial" w:cs="Arial"/>
                                  <w:b/>
                                  <w:bCs/>
                                  <w:sz w:val="24"/>
                                  <w:szCs w:val="24"/>
                                </w:rPr>
                                <w:t>WESTBOUND TRAFFIC (MOUNTAIN VIEW AVENUE)</w:t>
                              </w:r>
                            </w:p>
                            <w:p w14:paraId="2B78EA55" w14:textId="77777777" w:rsidR="005A6BA2" w:rsidRDefault="005A6BA2">
                              <w:pPr>
                                <w:numPr>
                                  <w:ilvl w:val="0"/>
                                  <w:numId w:val="4"/>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lastRenderedPageBreak/>
                                <w:t>Traffic going westbound on Mountain View Avenue will be detoured north on Peach Avenue, west on Nebraska Avenue, south on Cedar Avenue, then west on Mountain View Avenue.</w:t>
                              </w:r>
                            </w:p>
                            <w:p w14:paraId="58C287B5" w14:textId="77777777" w:rsidR="005A6BA2" w:rsidRDefault="005A6BA2">
                              <w:pPr>
                                <w:rPr>
                                  <w:rFonts w:ascii="Arial" w:hAnsi="Arial" w:cs="Arial"/>
                                  <w:sz w:val="24"/>
                                  <w:szCs w:val="24"/>
                                </w:rPr>
                              </w:pPr>
                              <w:r>
                                <w:rPr>
                                  <w:rFonts w:ascii="Arial" w:hAnsi="Arial" w:cs="Arial"/>
                                  <w:sz w:val="24"/>
                                  <w:szCs w:val="24"/>
                                </w:rPr>
                                <w:br/>
                              </w:r>
                              <w:r>
                                <w:rPr>
                                  <w:rFonts w:ascii="Arial" w:hAnsi="Arial" w:cs="Arial"/>
                                  <w:b/>
                                  <w:bCs/>
                                  <w:sz w:val="24"/>
                                  <w:szCs w:val="24"/>
                                </w:rPr>
                                <w:t>Signage will be in place to direct traffic.</w:t>
                              </w:r>
                              <w:r>
                                <w:rPr>
                                  <w:rFonts w:ascii="Arial" w:hAnsi="Arial" w:cs="Arial"/>
                                  <w:sz w:val="24"/>
                                  <w:szCs w:val="24"/>
                                </w:rPr>
                                <w:br/>
                                <w:t> </w:t>
                              </w:r>
                            </w:p>
                          </w:tc>
                        </w:tr>
                      </w:tbl>
                      <w:p w14:paraId="72366829" w14:textId="77777777" w:rsidR="005A6BA2" w:rsidRDefault="005A6BA2">
                        <w:pPr>
                          <w:rPr>
                            <w:rFonts w:eastAsia="Times New Roman"/>
                            <w:color w:val="auto"/>
                          </w:rPr>
                        </w:pPr>
                      </w:p>
                    </w:tc>
                  </w:tr>
                </w:tbl>
                <w:p w14:paraId="35060C3B" w14:textId="77777777" w:rsidR="005A6BA2" w:rsidRDefault="005A6BA2">
                  <w:pPr>
                    <w:rPr>
                      <w:rFonts w:ascii="Times New Roman" w:eastAsia="Times New Roman" w:hAnsi="Times New Roman" w:cs="Times New Roman"/>
                      <w:color w:val="auto"/>
                      <w:sz w:val="20"/>
                      <w:szCs w:val="20"/>
                    </w:rPr>
                  </w:pPr>
                </w:p>
              </w:tc>
            </w:tr>
          </w:tbl>
          <w:p w14:paraId="3561790B" w14:textId="77777777" w:rsidR="005A6BA2" w:rsidRDefault="005A6BA2">
            <w:pPr>
              <w:rPr>
                <w:rFonts w:ascii="Times New Roman" w:eastAsia="Times New Roman" w:hAnsi="Times New Roman" w:cs="Times New Roman"/>
                <w:color w:val="auto"/>
                <w:sz w:val="20"/>
                <w:szCs w:val="20"/>
              </w:rPr>
            </w:pPr>
          </w:p>
        </w:tc>
      </w:tr>
    </w:tbl>
    <w:p w14:paraId="7E3B6A90" w14:textId="04F3A4EC" w:rsidR="00081890" w:rsidRDefault="005A6BA2">
      <w:r>
        <w:rPr>
          <w:rFonts w:ascii="Arial" w:hAnsi="Arial" w:cs="Arial"/>
          <w:noProof/>
          <w:sz w:val="24"/>
          <w:szCs w:val="24"/>
        </w:rPr>
        <w:lastRenderedPageBreak/>
        <w:drawing>
          <wp:inline distT="0" distB="0" distL="0" distR="0" wp14:anchorId="6F9FE2AC" wp14:editId="209641D0">
            <wp:extent cx="4286250" cy="443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438650"/>
                    </a:xfrm>
                    <a:prstGeom prst="rect">
                      <a:avLst/>
                    </a:prstGeom>
                    <a:noFill/>
                    <a:ln>
                      <a:noFill/>
                    </a:ln>
                  </pic:spPr>
                </pic:pic>
              </a:graphicData>
            </a:graphic>
          </wp:inline>
        </w:drawing>
      </w:r>
    </w:p>
    <w:p w14:paraId="120AAB0F" w14:textId="3E511034" w:rsidR="005A6BA2" w:rsidRDefault="005A6BA2"/>
    <w:p w14:paraId="3E1A264B" w14:textId="77777777" w:rsidR="005A6BA2" w:rsidRDefault="005A6BA2" w:rsidP="005A6BA2">
      <w:pPr>
        <w:rPr>
          <w:rFonts w:ascii="Arial" w:hAnsi="Arial" w:cs="Arial"/>
          <w:color w:val="808080"/>
          <w:sz w:val="24"/>
          <w:szCs w:val="24"/>
        </w:rPr>
      </w:pPr>
      <w:r>
        <w:rPr>
          <w:rFonts w:ascii="Arial" w:hAnsi="Arial" w:cs="Arial"/>
          <w:sz w:val="24"/>
          <w:szCs w:val="24"/>
        </w:rPr>
        <w:t>All construction activities and schedules are subject to change. The California High-Speed Rail project is considered a critical infrastructure sector, and as the project continues, staff, contractors and construction workers are following specific guidelines to ensure the health and safety of all employees due to the COVID-19 pandemic.</w:t>
      </w:r>
      <w:r>
        <w:rPr>
          <w:rFonts w:ascii="Arial" w:hAnsi="Arial" w:cs="Arial"/>
          <w:sz w:val="24"/>
          <w:szCs w:val="24"/>
        </w:rPr>
        <w:br/>
      </w:r>
      <w:r>
        <w:rPr>
          <w:rFonts w:ascii="Arial" w:hAnsi="Arial" w:cs="Arial"/>
          <w:sz w:val="24"/>
          <w:szCs w:val="24"/>
        </w:rPr>
        <w:br/>
      </w:r>
      <w:r>
        <w:rPr>
          <w:rFonts w:ascii="Arial" w:hAnsi="Arial" w:cs="Arial"/>
          <w:sz w:val="24"/>
          <w:szCs w:val="24"/>
        </w:rPr>
        <w:lastRenderedPageBreak/>
        <w:t>For up-to-date information please visit </w:t>
      </w:r>
      <w:hyperlink r:id="rId8" w:history="1">
        <w:r>
          <w:rPr>
            <w:rStyle w:val="Hyperlink"/>
            <w:rFonts w:ascii="Arial" w:hAnsi="Arial" w:cs="Arial"/>
            <w:sz w:val="24"/>
            <w:szCs w:val="24"/>
          </w:rPr>
          <w:t>BuildHSR.com</w:t>
        </w:r>
      </w:hyperlink>
      <w:r>
        <w:rPr>
          <w:rFonts w:ascii="Arial" w:hAnsi="Arial" w:cs="Arial"/>
          <w:sz w:val="24"/>
          <w:szCs w:val="24"/>
        </w:rPr>
        <w:t> or the </w:t>
      </w:r>
      <w:hyperlink r:id="rId9" w:history="1">
        <w:r>
          <w:rPr>
            <w:rStyle w:val="Hyperlink"/>
            <w:rFonts w:ascii="Arial" w:hAnsi="Arial" w:cs="Arial"/>
            <w:sz w:val="24"/>
            <w:szCs w:val="24"/>
          </w:rPr>
          <w:t xml:space="preserve">Caltrans </w:t>
        </w:r>
        <w:proofErr w:type="spellStart"/>
        <w:r>
          <w:rPr>
            <w:rStyle w:val="Hyperlink"/>
            <w:rFonts w:ascii="Arial" w:hAnsi="Arial" w:cs="Arial"/>
            <w:sz w:val="24"/>
            <w:szCs w:val="24"/>
          </w:rPr>
          <w:t>Quickmap</w:t>
        </w:r>
        <w:proofErr w:type="spellEnd"/>
      </w:hyperlink>
      <w:r>
        <w:rPr>
          <w:rFonts w:ascii="Arial" w:hAnsi="Arial" w:cs="Arial"/>
          <w:sz w:val="24"/>
          <w:szCs w:val="24"/>
        </w:rPr>
        <w:t xml:space="preserve">. Traffic laws will be fully </w:t>
      </w:r>
      <w:proofErr w:type="gramStart"/>
      <w:r>
        <w:rPr>
          <w:rFonts w:ascii="Arial" w:hAnsi="Arial" w:cs="Arial"/>
          <w:sz w:val="24"/>
          <w:szCs w:val="24"/>
        </w:rPr>
        <w:t>enforced</w:t>
      </w:r>
      <w:proofErr w:type="gramEnd"/>
      <w:r>
        <w:rPr>
          <w:rFonts w:ascii="Arial" w:hAnsi="Arial" w:cs="Arial"/>
          <w:sz w:val="24"/>
          <w:szCs w:val="24"/>
        </w:rPr>
        <w:t xml:space="preserve"> and commuters are expected to be aware of the surrounding activities, remain alert and watch for construction vehicles and personnel. The public is asked to drive carefully and be extra cautious while traveling through construction areas. </w:t>
      </w:r>
      <w:r>
        <w:rPr>
          <w:rFonts w:ascii="Arial" w:hAnsi="Arial" w:cs="Arial"/>
          <w:color w:val="808080"/>
          <w:sz w:val="24"/>
          <w:szCs w:val="24"/>
        </w:rPr>
        <w:br/>
        <w:t> </w:t>
      </w:r>
    </w:p>
    <w:p w14:paraId="46E765BE" w14:textId="064FD1E0" w:rsidR="005A6BA2" w:rsidRDefault="005A6BA2" w:rsidP="005A6BA2">
      <w:pPr>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información</w:t>
      </w:r>
      <w:proofErr w:type="spellEnd"/>
      <w:r>
        <w:rPr>
          <w:rFonts w:ascii="Arial" w:hAnsi="Arial" w:cs="Arial"/>
          <w:sz w:val="24"/>
          <w:szCs w:val="24"/>
        </w:rPr>
        <w:t xml:space="preserve"> o </w:t>
      </w:r>
      <w:proofErr w:type="spellStart"/>
      <w:r>
        <w:rPr>
          <w:rFonts w:ascii="Arial" w:hAnsi="Arial" w:cs="Arial"/>
          <w:sz w:val="24"/>
          <w:szCs w:val="24"/>
        </w:rPr>
        <w:t>preguntas</w:t>
      </w:r>
      <w:proofErr w:type="spellEnd"/>
      <w:r>
        <w:rPr>
          <w:rFonts w:ascii="Arial" w:hAnsi="Arial" w:cs="Arial"/>
          <w:sz w:val="24"/>
          <w:szCs w:val="24"/>
        </w:rPr>
        <w:t xml:space="preserve">, por favor </w:t>
      </w:r>
      <w:proofErr w:type="spellStart"/>
      <w:r>
        <w:rPr>
          <w:rFonts w:ascii="Arial" w:hAnsi="Arial" w:cs="Arial"/>
          <w:sz w:val="24"/>
          <w:szCs w:val="24"/>
        </w:rPr>
        <w:t>llame</w:t>
      </w:r>
      <w:proofErr w:type="spellEnd"/>
      <w:r>
        <w:rPr>
          <w:rFonts w:ascii="Arial" w:hAnsi="Arial" w:cs="Arial"/>
          <w:sz w:val="24"/>
          <w:szCs w:val="24"/>
        </w:rPr>
        <w:t xml:space="preserve"> al </w:t>
      </w:r>
      <w:proofErr w:type="spellStart"/>
      <w:r>
        <w:rPr>
          <w:rFonts w:ascii="Arial" w:hAnsi="Arial" w:cs="Arial"/>
          <w:sz w:val="24"/>
          <w:szCs w:val="24"/>
        </w:rPr>
        <w:t>teléfono</w:t>
      </w:r>
      <w:proofErr w:type="spellEnd"/>
      <w:r>
        <w:rPr>
          <w:rFonts w:ascii="Arial" w:hAnsi="Arial" w:cs="Arial"/>
          <w:sz w:val="24"/>
          <w:szCs w:val="24"/>
        </w:rPr>
        <w:t xml:space="preserve"> (559) 445-6770 </w:t>
      </w:r>
      <w:proofErr w:type="spellStart"/>
      <w:r>
        <w:rPr>
          <w:rFonts w:ascii="Arial" w:hAnsi="Arial" w:cs="Arial"/>
          <w:sz w:val="24"/>
          <w:szCs w:val="24"/>
        </w:rPr>
        <w:t>directo</w:t>
      </w:r>
      <w:proofErr w:type="spellEnd"/>
      <w:r>
        <w:rPr>
          <w:rFonts w:ascii="Arial" w:hAnsi="Arial" w:cs="Arial"/>
          <w:sz w:val="24"/>
          <w:szCs w:val="24"/>
        </w:rPr>
        <w:t xml:space="preserve"> o </w:t>
      </w:r>
      <w:proofErr w:type="spellStart"/>
      <w:r>
        <w:rPr>
          <w:rFonts w:ascii="Arial" w:hAnsi="Arial" w:cs="Arial"/>
          <w:sz w:val="24"/>
          <w:szCs w:val="24"/>
        </w:rPr>
        <w:t>visite</w:t>
      </w:r>
      <w:proofErr w:type="spellEnd"/>
      <w:r>
        <w:rPr>
          <w:rFonts w:ascii="Arial" w:hAnsi="Arial" w:cs="Arial"/>
          <w:sz w:val="24"/>
          <w:szCs w:val="24"/>
        </w:rPr>
        <w:t xml:space="preserve"> el sitio web </w:t>
      </w:r>
      <w:hyperlink r:id="rId10" w:history="1">
        <w:r>
          <w:rPr>
            <w:rStyle w:val="Hyperlink"/>
            <w:rFonts w:ascii="Arial" w:hAnsi="Arial" w:cs="Arial"/>
            <w:sz w:val="24"/>
            <w:szCs w:val="24"/>
          </w:rPr>
          <w:t>www.hsr.ca.gov</w:t>
        </w:r>
      </w:hyperlink>
      <w:r>
        <w:rPr>
          <w:rFonts w:ascii="Arial" w:hAnsi="Arial" w:cs="Arial"/>
          <w:sz w:val="24"/>
          <w:szCs w:val="24"/>
        </w:rPr>
        <w:t> </w:t>
      </w:r>
      <w:r>
        <w:rPr>
          <w:rFonts w:ascii="Arial" w:hAnsi="Arial" w:cs="Arial"/>
          <w:sz w:val="24"/>
          <w:szCs w:val="24"/>
        </w:rPr>
        <w:br/>
      </w:r>
      <w:r>
        <w:rPr>
          <w:rFonts w:ascii="Arial" w:hAnsi="Arial" w:cs="Arial"/>
          <w:sz w:val="24"/>
          <w:szCs w:val="24"/>
        </w:rPr>
        <w:br/>
      </w:r>
      <w:proofErr w:type="spellStart"/>
      <w:r>
        <w:rPr>
          <w:rFonts w:ascii="MS Gothic" w:eastAsia="MS Gothic" w:hAnsi="MS Gothic" w:hint="eastAsia"/>
          <w:sz w:val="24"/>
          <w:szCs w:val="24"/>
        </w:rPr>
        <w:t>如有疑問或需要索取工程最新資料，請致電輔助熱線或參</w:t>
      </w:r>
      <w:r>
        <w:rPr>
          <w:rFonts w:ascii="Malgun Gothic" w:eastAsia="Malgun Gothic" w:hAnsi="Malgun Gothic" w:hint="eastAsia"/>
          <w:sz w:val="24"/>
          <w:szCs w:val="24"/>
        </w:rPr>
        <w:t>閱工程網頁</w:t>
      </w:r>
      <w:proofErr w:type="spellEnd"/>
      <w:r>
        <w:rPr>
          <w:rFonts w:ascii="Arial" w:hAnsi="Arial" w:cs="Arial"/>
          <w:sz w:val="24"/>
          <w:szCs w:val="24"/>
        </w:rPr>
        <w:br/>
      </w:r>
      <w:r>
        <w:rPr>
          <w:rFonts w:ascii="Arial" w:hAnsi="Arial" w:cs="Arial"/>
          <w:sz w:val="24"/>
          <w:szCs w:val="24"/>
        </w:rPr>
        <w:br/>
      </w:r>
      <w:proofErr w:type="spellStart"/>
      <w:r>
        <w:rPr>
          <w:rFonts w:ascii="Arial" w:hAnsi="Arial" w:cs="Arial"/>
          <w:sz w:val="24"/>
          <w:szCs w:val="24"/>
        </w:rPr>
        <w:t>Đê</w:t>
      </w:r>
      <w:proofErr w:type="spellEnd"/>
      <w:r>
        <w:rPr>
          <w:rFonts w:ascii="Arial" w:hAnsi="Arial" w:cs="Arial"/>
          <w:sz w:val="24"/>
          <w:szCs w:val="24"/>
        </w:rPr>
        <w:t xml:space="preserve">̉ </w:t>
      </w:r>
      <w:proofErr w:type="spellStart"/>
      <w:r>
        <w:rPr>
          <w:rFonts w:ascii="Arial" w:hAnsi="Arial" w:cs="Arial"/>
          <w:sz w:val="24"/>
          <w:szCs w:val="24"/>
        </w:rPr>
        <w:t>biết</w:t>
      </w:r>
      <w:proofErr w:type="spellEnd"/>
      <w:r>
        <w:rPr>
          <w:rFonts w:ascii="Arial" w:hAnsi="Arial" w:cs="Arial"/>
          <w:sz w:val="24"/>
          <w:szCs w:val="24"/>
        </w:rPr>
        <w:t xml:space="preserve"> </w:t>
      </w:r>
      <w:proofErr w:type="spellStart"/>
      <w:r>
        <w:rPr>
          <w:rFonts w:ascii="Arial" w:hAnsi="Arial" w:cs="Arial"/>
          <w:sz w:val="24"/>
          <w:szCs w:val="24"/>
        </w:rPr>
        <w:t>thêm</w:t>
      </w:r>
      <w:proofErr w:type="spellEnd"/>
      <w:r>
        <w:rPr>
          <w:rFonts w:ascii="Arial" w:hAnsi="Arial" w:cs="Arial"/>
          <w:sz w:val="24"/>
          <w:szCs w:val="24"/>
        </w:rPr>
        <w:t xml:space="preserve"> </w:t>
      </w:r>
      <w:proofErr w:type="spellStart"/>
      <w:r>
        <w:rPr>
          <w:rFonts w:ascii="Arial" w:hAnsi="Arial" w:cs="Arial"/>
          <w:sz w:val="24"/>
          <w:szCs w:val="24"/>
        </w:rPr>
        <w:t>thông</w:t>
      </w:r>
      <w:proofErr w:type="spellEnd"/>
      <w:r>
        <w:rPr>
          <w:rFonts w:ascii="Arial" w:hAnsi="Arial" w:cs="Arial"/>
          <w:sz w:val="24"/>
          <w:szCs w:val="24"/>
        </w:rPr>
        <w:t xml:space="preserve"> tin </w:t>
      </w:r>
      <w:proofErr w:type="spellStart"/>
      <w:r>
        <w:rPr>
          <w:rFonts w:ascii="Arial" w:hAnsi="Arial" w:cs="Arial"/>
          <w:sz w:val="24"/>
          <w:szCs w:val="24"/>
        </w:rPr>
        <w:t>hoặc</w:t>
      </w:r>
      <w:proofErr w:type="spellEnd"/>
      <w:r>
        <w:rPr>
          <w:rFonts w:ascii="Arial" w:hAnsi="Arial" w:cs="Arial"/>
          <w:sz w:val="24"/>
          <w:szCs w:val="24"/>
        </w:rPr>
        <w:t xml:space="preserve"> là có </w:t>
      </w:r>
      <w:proofErr w:type="spellStart"/>
      <w:r>
        <w:rPr>
          <w:rFonts w:ascii="Arial" w:hAnsi="Arial" w:cs="Arial"/>
          <w:sz w:val="24"/>
          <w:szCs w:val="24"/>
        </w:rPr>
        <w:t>câu</w:t>
      </w:r>
      <w:proofErr w:type="spellEnd"/>
      <w:r>
        <w:rPr>
          <w:rFonts w:ascii="Arial" w:hAnsi="Arial" w:cs="Arial"/>
          <w:sz w:val="24"/>
          <w:szCs w:val="24"/>
        </w:rPr>
        <w:t xml:space="preserve"> </w:t>
      </w:r>
      <w:proofErr w:type="spellStart"/>
      <w:r>
        <w:rPr>
          <w:rFonts w:ascii="Arial" w:hAnsi="Arial" w:cs="Arial"/>
          <w:sz w:val="24"/>
          <w:szCs w:val="24"/>
        </w:rPr>
        <w:t>hỏi</w:t>
      </w:r>
      <w:proofErr w:type="spellEnd"/>
      <w:r>
        <w:rPr>
          <w:rFonts w:ascii="Arial" w:hAnsi="Arial" w:cs="Arial"/>
          <w:sz w:val="24"/>
          <w:szCs w:val="24"/>
        </w:rPr>
        <w:t xml:space="preserve">, </w:t>
      </w:r>
      <w:proofErr w:type="spellStart"/>
      <w:r>
        <w:rPr>
          <w:rFonts w:ascii="Arial" w:hAnsi="Arial" w:cs="Arial"/>
          <w:sz w:val="24"/>
          <w:szCs w:val="24"/>
        </w:rPr>
        <w:t>xin</w:t>
      </w:r>
      <w:proofErr w:type="spellEnd"/>
      <w:r>
        <w:rPr>
          <w:rFonts w:ascii="Arial" w:hAnsi="Arial" w:cs="Arial"/>
          <w:sz w:val="24"/>
          <w:szCs w:val="24"/>
        </w:rPr>
        <w:t xml:space="preserve"> </w:t>
      </w:r>
      <w:proofErr w:type="spellStart"/>
      <w:r>
        <w:rPr>
          <w:rFonts w:ascii="Arial" w:hAnsi="Arial" w:cs="Arial"/>
          <w:sz w:val="24"/>
          <w:szCs w:val="24"/>
        </w:rPr>
        <w:t>quy</w:t>
      </w:r>
      <w:proofErr w:type="spellEnd"/>
      <w:r>
        <w:rPr>
          <w:rFonts w:ascii="Arial" w:hAnsi="Arial" w:cs="Arial"/>
          <w:sz w:val="24"/>
          <w:szCs w:val="24"/>
        </w:rPr>
        <w:t xml:space="preserve">́ vị </w:t>
      </w:r>
      <w:proofErr w:type="spellStart"/>
      <w:r>
        <w:rPr>
          <w:rFonts w:ascii="Arial" w:hAnsi="Arial" w:cs="Arial"/>
          <w:sz w:val="24"/>
          <w:szCs w:val="24"/>
        </w:rPr>
        <w:t>vui</w:t>
      </w:r>
      <w:proofErr w:type="spellEnd"/>
      <w:r>
        <w:rPr>
          <w:rFonts w:ascii="Arial" w:hAnsi="Arial" w:cs="Arial"/>
          <w:sz w:val="24"/>
          <w:szCs w:val="24"/>
        </w:rPr>
        <w:t xml:space="preserve"> </w:t>
      </w:r>
      <w:proofErr w:type="spellStart"/>
      <w:r>
        <w:rPr>
          <w:rFonts w:ascii="Arial" w:hAnsi="Arial" w:cs="Arial"/>
          <w:sz w:val="24"/>
          <w:szCs w:val="24"/>
        </w:rPr>
        <w:t>lòng</w:t>
      </w:r>
      <w:proofErr w:type="spellEnd"/>
      <w:r>
        <w:rPr>
          <w:rFonts w:ascii="Arial" w:hAnsi="Arial" w:cs="Arial"/>
          <w:sz w:val="24"/>
          <w:szCs w:val="24"/>
        </w:rPr>
        <w:t xml:space="preserve"> </w:t>
      </w:r>
      <w:proofErr w:type="spellStart"/>
      <w:r>
        <w:rPr>
          <w:rFonts w:ascii="Arial" w:hAnsi="Arial" w:cs="Arial"/>
          <w:sz w:val="24"/>
          <w:szCs w:val="24"/>
        </w:rPr>
        <w:t>gọi</w:t>
      </w:r>
      <w:proofErr w:type="spellEnd"/>
      <w:r>
        <w:rPr>
          <w:rFonts w:ascii="Arial" w:hAnsi="Arial" w:cs="Arial"/>
          <w:sz w:val="24"/>
          <w:szCs w:val="24"/>
        </w:rPr>
        <w:t xml:space="preserve"> </w:t>
      </w:r>
      <w:proofErr w:type="spellStart"/>
      <w:r>
        <w:rPr>
          <w:rFonts w:ascii="Arial" w:hAnsi="Arial" w:cs="Arial"/>
          <w:sz w:val="24"/>
          <w:szCs w:val="24"/>
        </w:rPr>
        <w:t>sô</w:t>
      </w:r>
      <w:proofErr w:type="spellEnd"/>
      <w:r>
        <w:rPr>
          <w:rFonts w:ascii="Arial" w:hAnsi="Arial" w:cs="Arial"/>
          <w:sz w:val="24"/>
          <w:szCs w:val="24"/>
        </w:rPr>
        <w:t xml:space="preserve">́ </w:t>
      </w:r>
      <w:proofErr w:type="spellStart"/>
      <w:r>
        <w:rPr>
          <w:rFonts w:ascii="Arial" w:hAnsi="Arial" w:cs="Arial"/>
          <w:sz w:val="24"/>
          <w:szCs w:val="24"/>
        </w:rPr>
        <w:t>điện</w:t>
      </w:r>
      <w:proofErr w:type="spellEnd"/>
      <w:r>
        <w:rPr>
          <w:rFonts w:ascii="Arial" w:hAnsi="Arial" w:cs="Arial"/>
          <w:sz w:val="24"/>
          <w:szCs w:val="24"/>
        </w:rPr>
        <w:t xml:space="preserve"> </w:t>
      </w:r>
      <w:proofErr w:type="spellStart"/>
      <w:r>
        <w:rPr>
          <w:rFonts w:ascii="Arial" w:hAnsi="Arial" w:cs="Arial"/>
          <w:sz w:val="24"/>
          <w:szCs w:val="24"/>
        </w:rPr>
        <w:t>thoạihoặc</w:t>
      </w:r>
      <w:proofErr w:type="spellEnd"/>
      <w:r>
        <w:rPr>
          <w:rFonts w:ascii="Arial" w:hAnsi="Arial" w:cs="Arial"/>
          <w:sz w:val="24"/>
          <w:szCs w:val="24"/>
        </w:rPr>
        <w:t xml:space="preserve"> là </w:t>
      </w:r>
      <w:proofErr w:type="spellStart"/>
      <w:r>
        <w:rPr>
          <w:rFonts w:ascii="Arial" w:hAnsi="Arial" w:cs="Arial"/>
          <w:sz w:val="24"/>
          <w:szCs w:val="24"/>
        </w:rPr>
        <w:t>viếng</w:t>
      </w:r>
      <w:proofErr w:type="spellEnd"/>
      <w:r>
        <w:rPr>
          <w:rFonts w:ascii="Arial" w:hAnsi="Arial" w:cs="Arial"/>
          <w:sz w:val="24"/>
          <w:szCs w:val="24"/>
        </w:rPr>
        <w:t xml:space="preserve"> </w:t>
      </w:r>
      <w:proofErr w:type="spellStart"/>
      <w:r>
        <w:rPr>
          <w:rFonts w:ascii="Arial" w:hAnsi="Arial" w:cs="Arial"/>
          <w:sz w:val="24"/>
          <w:szCs w:val="24"/>
        </w:rPr>
        <w:t>thăm</w:t>
      </w:r>
      <w:proofErr w:type="spellEnd"/>
      <w:r>
        <w:rPr>
          <w:rFonts w:ascii="Arial" w:hAnsi="Arial" w:cs="Arial"/>
          <w:sz w:val="24"/>
          <w:szCs w:val="24"/>
        </w:rPr>
        <w:t xml:space="preserve"> </w:t>
      </w:r>
      <w:proofErr w:type="spellStart"/>
      <w:r>
        <w:rPr>
          <w:rFonts w:ascii="Arial" w:hAnsi="Arial" w:cs="Arial"/>
          <w:sz w:val="24"/>
          <w:szCs w:val="24"/>
        </w:rPr>
        <w:t>trang</w:t>
      </w:r>
      <w:proofErr w:type="spellEnd"/>
      <w:r>
        <w:rPr>
          <w:rFonts w:ascii="Arial" w:hAnsi="Arial" w:cs="Arial"/>
          <w:sz w:val="24"/>
          <w:szCs w:val="24"/>
        </w:rPr>
        <w:t xml:space="preserve"> web </w:t>
      </w:r>
      <w:proofErr w:type="spellStart"/>
      <w:r>
        <w:rPr>
          <w:rFonts w:ascii="Arial" w:hAnsi="Arial" w:cs="Arial"/>
          <w:sz w:val="24"/>
          <w:szCs w:val="24"/>
        </w:rPr>
        <w:t>liệt</w:t>
      </w:r>
      <w:proofErr w:type="spellEnd"/>
      <w:r>
        <w:rPr>
          <w:rFonts w:ascii="Arial" w:hAnsi="Arial" w:cs="Arial"/>
          <w:sz w:val="24"/>
          <w:szCs w:val="24"/>
        </w:rPr>
        <w:t xml:space="preserve"> </w:t>
      </w:r>
      <w:proofErr w:type="spellStart"/>
      <w:r>
        <w:rPr>
          <w:rFonts w:ascii="Arial" w:hAnsi="Arial" w:cs="Arial"/>
          <w:sz w:val="24"/>
          <w:szCs w:val="24"/>
        </w:rPr>
        <w:t>kê</w:t>
      </w:r>
      <w:proofErr w:type="spellEnd"/>
      <w:r>
        <w:rPr>
          <w:rFonts w:ascii="Arial" w:hAnsi="Arial" w:cs="Arial"/>
          <w:sz w:val="24"/>
          <w:szCs w:val="24"/>
        </w:rPr>
        <w:t xml:space="preserve"> </w:t>
      </w:r>
      <w:proofErr w:type="spellStart"/>
      <w:r>
        <w:rPr>
          <w:rFonts w:ascii="Arial" w:hAnsi="Arial" w:cs="Arial"/>
          <w:sz w:val="24"/>
          <w:szCs w:val="24"/>
        </w:rPr>
        <w:t>phía</w:t>
      </w:r>
      <w:proofErr w:type="spellEnd"/>
      <w:r>
        <w:rPr>
          <w:rFonts w:ascii="Arial" w:hAnsi="Arial" w:cs="Arial"/>
          <w:sz w:val="24"/>
          <w:szCs w:val="24"/>
        </w:rPr>
        <w:t xml:space="preserve"> </w:t>
      </w:r>
      <w:proofErr w:type="spellStart"/>
      <w:r>
        <w:rPr>
          <w:rFonts w:ascii="Arial" w:hAnsi="Arial" w:cs="Arial"/>
          <w:sz w:val="24"/>
          <w:szCs w:val="24"/>
        </w:rPr>
        <w:t>dưới</w:t>
      </w:r>
      <w:proofErr w:type="spellEnd"/>
      <w:r>
        <w:rPr>
          <w:rFonts w:ascii="Arial" w:hAnsi="Arial" w:cs="Arial"/>
          <w:sz w:val="24"/>
          <w:szCs w:val="24"/>
        </w:rPr>
        <w:t xml:space="preserve"> </w:t>
      </w:r>
      <w:proofErr w:type="spellStart"/>
      <w:r>
        <w:rPr>
          <w:rFonts w:ascii="Arial" w:hAnsi="Arial" w:cs="Arial"/>
          <w:sz w:val="24"/>
          <w:szCs w:val="24"/>
        </w:rPr>
        <w:t>trang</w:t>
      </w:r>
      <w:proofErr w:type="spellEnd"/>
      <w:r>
        <w:rPr>
          <w:rFonts w:ascii="Arial" w:hAnsi="Arial" w:cs="Arial"/>
          <w:sz w:val="24"/>
          <w:szCs w:val="24"/>
        </w:rPr>
        <w:t xml:space="preserve"> </w:t>
      </w:r>
      <w:proofErr w:type="spellStart"/>
      <w:r>
        <w:rPr>
          <w:rFonts w:ascii="Arial" w:hAnsi="Arial" w:cs="Arial"/>
          <w:sz w:val="24"/>
          <w:szCs w:val="24"/>
        </w:rPr>
        <w:t>này</w:t>
      </w:r>
      <w:proofErr w:type="spellEnd"/>
      <w:r>
        <w:rPr>
          <w:rFonts w:ascii="Arial" w:hAnsi="Arial" w:cs="Arial"/>
          <w:sz w:val="24"/>
          <w:szCs w:val="24"/>
        </w:rPr>
        <w:t>:</w:t>
      </w:r>
    </w:p>
    <w:p w14:paraId="3F332291" w14:textId="27C1FB3F" w:rsidR="005A6BA2" w:rsidRDefault="005A6BA2" w:rsidP="005A6BA2">
      <w:pPr>
        <w:rPr>
          <w:rFonts w:ascii="Arial" w:hAnsi="Arial" w:cs="Arial"/>
          <w:sz w:val="24"/>
          <w:szCs w:val="24"/>
        </w:rPr>
      </w:pPr>
    </w:p>
    <w:p w14:paraId="6141E9E2" w14:textId="77777777" w:rsidR="005A6BA2" w:rsidRDefault="005A6BA2" w:rsidP="005A6BA2">
      <w:pPr>
        <w:pStyle w:val="Heading2"/>
        <w:rPr>
          <w:rFonts w:ascii="Arial" w:eastAsia="Times New Roman" w:hAnsi="Arial" w:cs="Arial"/>
          <w:color w:val="FFFFFF"/>
          <w:sz w:val="30"/>
          <w:szCs w:val="30"/>
        </w:rPr>
      </w:pPr>
      <w:r>
        <w:rPr>
          <w:rFonts w:ascii="Arial" w:eastAsia="Times New Roman" w:hAnsi="Arial" w:cs="Arial"/>
          <w:color w:val="324158"/>
          <w:sz w:val="30"/>
          <w:szCs w:val="30"/>
        </w:rPr>
        <w:t>Thank you for your patience and cooperation.</w:t>
      </w:r>
    </w:p>
    <w:tbl>
      <w:tblPr>
        <w:tblW w:w="5000" w:type="pct"/>
        <w:shd w:val="clear" w:color="auto" w:fill="324259"/>
        <w:tblCellMar>
          <w:left w:w="0" w:type="dxa"/>
          <w:right w:w="0" w:type="dxa"/>
        </w:tblCellMar>
        <w:tblLook w:val="04A0" w:firstRow="1" w:lastRow="0" w:firstColumn="1" w:lastColumn="0" w:noHBand="0" w:noVBand="1"/>
      </w:tblPr>
      <w:tblGrid>
        <w:gridCol w:w="9360"/>
      </w:tblGrid>
      <w:tr w:rsidR="005A6BA2" w14:paraId="09E75EC6" w14:textId="77777777" w:rsidTr="005A6BA2">
        <w:tc>
          <w:tcPr>
            <w:tcW w:w="0" w:type="auto"/>
            <w:shd w:val="clear" w:color="auto" w:fill="324259"/>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60"/>
            </w:tblGrid>
            <w:tr w:rsidR="005A6BA2" w14:paraId="2042A86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2920"/>
                    <w:gridCol w:w="2920"/>
                    <w:gridCol w:w="2920"/>
                  </w:tblGrid>
                  <w:tr w:rsidR="005A6BA2" w14:paraId="0C12B141" w14:textId="77777777">
                    <w:tc>
                      <w:tcPr>
                        <w:tcW w:w="1650" w:type="pct"/>
                        <w:tcMar>
                          <w:top w:w="0" w:type="dxa"/>
                          <w:left w:w="0" w:type="dxa"/>
                          <w:bottom w:w="0" w:type="dxa"/>
                          <w:right w:w="50" w:type="dxa"/>
                        </w:tcMar>
                        <w:hideMark/>
                      </w:tcPr>
                      <w:tbl>
                        <w:tblPr>
                          <w:tblW w:w="5000" w:type="pct"/>
                          <w:shd w:val="clear" w:color="auto" w:fill="324259"/>
                          <w:tblCellMar>
                            <w:left w:w="0" w:type="dxa"/>
                            <w:right w:w="0" w:type="dxa"/>
                          </w:tblCellMar>
                          <w:tblLook w:val="04A0" w:firstRow="1" w:lastRow="0" w:firstColumn="1" w:lastColumn="0" w:noHBand="0" w:noVBand="1"/>
                        </w:tblPr>
                        <w:tblGrid>
                          <w:gridCol w:w="2870"/>
                        </w:tblGrid>
                        <w:tr w:rsidR="005A6BA2" w14:paraId="3443D784" w14:textId="77777777">
                          <w:tc>
                            <w:tcPr>
                              <w:tcW w:w="0" w:type="auto"/>
                              <w:shd w:val="clear" w:color="auto" w:fill="324259"/>
                              <w:vAlign w:val="center"/>
                              <w:hideMark/>
                            </w:tcPr>
                            <w:p w14:paraId="5F2BF431" w14:textId="77777777" w:rsidR="005A6BA2" w:rsidRDefault="005A6BA2">
                              <w:pPr>
                                <w:pStyle w:val="Heading1"/>
                                <w:rPr>
                                  <w:rFonts w:ascii="Arial" w:eastAsia="Times New Roman" w:hAnsi="Arial" w:cs="Arial"/>
                                  <w:color w:val="324158"/>
                                </w:rPr>
                              </w:pPr>
                              <w:r>
                                <w:rPr>
                                  <w:rFonts w:ascii="Arial" w:eastAsia="Times New Roman" w:hAnsi="Arial" w:cs="Arial"/>
                                  <w:color w:val="FFFFFF"/>
                                </w:rPr>
                                <w:t>Contact:</w:t>
                              </w:r>
                            </w:p>
                          </w:tc>
                        </w:tr>
                      </w:tbl>
                      <w:p w14:paraId="29AFA305" w14:textId="77777777" w:rsidR="005A6BA2" w:rsidRDefault="005A6BA2">
                        <w:pPr>
                          <w:rPr>
                            <w:rFonts w:ascii="Times New Roman" w:eastAsia="Times New Roman" w:hAnsi="Times New Roman" w:cs="Times New Roman"/>
                            <w:color w:val="auto"/>
                            <w:sz w:val="20"/>
                            <w:szCs w:val="20"/>
                          </w:rPr>
                        </w:pPr>
                      </w:p>
                    </w:tc>
                    <w:tc>
                      <w:tcPr>
                        <w:tcW w:w="1650" w:type="pct"/>
                        <w:tcMar>
                          <w:top w:w="0" w:type="dxa"/>
                          <w:left w:w="25" w:type="dxa"/>
                          <w:bottom w:w="0" w:type="dxa"/>
                          <w:right w:w="25" w:type="dxa"/>
                        </w:tcMar>
                        <w:hideMark/>
                      </w:tcPr>
                      <w:tbl>
                        <w:tblPr>
                          <w:tblW w:w="5000" w:type="pct"/>
                          <w:tblCellMar>
                            <w:left w:w="0" w:type="dxa"/>
                            <w:right w:w="0" w:type="dxa"/>
                          </w:tblCellMar>
                          <w:tblLook w:val="04A0" w:firstRow="1" w:lastRow="0" w:firstColumn="1" w:lastColumn="0" w:noHBand="0" w:noVBand="1"/>
                        </w:tblPr>
                        <w:tblGrid>
                          <w:gridCol w:w="2870"/>
                        </w:tblGrid>
                        <w:tr w:rsidR="005A6BA2" w14:paraId="73085CDF" w14:textId="77777777">
                          <w:tc>
                            <w:tcPr>
                              <w:tcW w:w="0" w:type="auto"/>
                              <w:tcMar>
                                <w:top w:w="75" w:type="dxa"/>
                                <w:left w:w="0" w:type="dxa"/>
                                <w:bottom w:w="75" w:type="dxa"/>
                                <w:right w:w="0" w:type="dxa"/>
                              </w:tcMar>
                              <w:vAlign w:val="center"/>
                              <w:hideMark/>
                            </w:tcPr>
                            <w:p w14:paraId="520DB5E8" w14:textId="77777777" w:rsidR="005A6BA2" w:rsidRDefault="005A6BA2">
                              <w:pPr>
                                <w:pStyle w:val="Heading3"/>
                                <w:rPr>
                                  <w:rFonts w:ascii="Arial" w:eastAsia="Times New Roman" w:hAnsi="Arial" w:cs="Arial"/>
                                  <w:color w:val="808080"/>
                                  <w:sz w:val="30"/>
                                  <w:szCs w:val="30"/>
                                </w:rPr>
                              </w:pPr>
                              <w:r>
                                <w:rPr>
                                  <w:rFonts w:ascii="Arial" w:eastAsia="Times New Roman" w:hAnsi="Arial" w:cs="Arial"/>
                                  <w:color w:val="FFFFFF"/>
                                  <w:sz w:val="21"/>
                                  <w:szCs w:val="21"/>
                                </w:rPr>
                                <w:t>Toni Tinoco</w:t>
                              </w:r>
                              <w:r>
                                <w:rPr>
                                  <w:rFonts w:ascii="Arial" w:eastAsia="Times New Roman" w:hAnsi="Arial" w:cs="Arial"/>
                                  <w:b/>
                                  <w:bCs/>
                                  <w:color w:val="FFFFFF"/>
                                  <w:sz w:val="21"/>
                                  <w:szCs w:val="21"/>
                                </w:rPr>
                                <w:br/>
                                <w:t>California High-Speed Rail</w:t>
                              </w:r>
                              <w:r>
                                <w:rPr>
                                  <w:rFonts w:ascii="Arial" w:eastAsia="Times New Roman" w:hAnsi="Arial" w:cs="Arial"/>
                                  <w:b/>
                                  <w:bCs/>
                                  <w:color w:val="FFFFFF"/>
                                  <w:sz w:val="21"/>
                                  <w:szCs w:val="21"/>
                                </w:rPr>
                                <w:br/>
                                <w:t>(559) 274-8975 </w:t>
                              </w:r>
                              <w:r>
                                <w:rPr>
                                  <w:rFonts w:ascii="Arial" w:eastAsia="Times New Roman" w:hAnsi="Arial" w:cs="Arial"/>
                                  <w:b/>
                                  <w:bCs/>
                                  <w:color w:val="808080"/>
                                  <w:sz w:val="30"/>
                                  <w:szCs w:val="30"/>
                                </w:rPr>
                                <w:br/>
                              </w:r>
                              <w:hyperlink r:id="rId11" w:history="1">
                                <w:r>
                                  <w:rPr>
                                    <w:rStyle w:val="Hyperlink"/>
                                    <w:rFonts w:ascii="Arial" w:eastAsia="Times New Roman" w:hAnsi="Arial" w:cs="Arial"/>
                                    <w:color w:val="FFFFFF"/>
                                    <w:sz w:val="21"/>
                                    <w:szCs w:val="21"/>
                                  </w:rPr>
                                  <w:t>Toni.Tinoco@hsr.ca.gov</w:t>
                                </w:r>
                              </w:hyperlink>
                            </w:p>
                          </w:tc>
                        </w:tr>
                      </w:tbl>
                      <w:p w14:paraId="22DFBDD1" w14:textId="77777777" w:rsidR="005A6BA2" w:rsidRDefault="005A6BA2">
                        <w:pPr>
                          <w:rPr>
                            <w:rFonts w:ascii="Times New Roman" w:eastAsia="Times New Roman" w:hAnsi="Times New Roman" w:cs="Times New Roman"/>
                            <w:color w:val="auto"/>
                            <w:sz w:val="20"/>
                            <w:szCs w:val="20"/>
                          </w:rPr>
                        </w:pPr>
                      </w:p>
                    </w:tc>
                    <w:tc>
                      <w:tcPr>
                        <w:tcW w:w="1650" w:type="pct"/>
                        <w:tcMar>
                          <w:top w:w="0" w:type="dxa"/>
                          <w:left w:w="5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2870"/>
                        </w:tblGrid>
                        <w:tr w:rsidR="005A6BA2" w14:paraId="1742E920" w14:textId="77777777">
                          <w:tc>
                            <w:tcPr>
                              <w:tcW w:w="0" w:type="auto"/>
                              <w:tcMar>
                                <w:top w:w="75" w:type="dxa"/>
                                <w:left w:w="0" w:type="dxa"/>
                                <w:bottom w:w="75" w:type="dxa"/>
                                <w:right w:w="0" w:type="dxa"/>
                              </w:tcMar>
                              <w:vAlign w:val="center"/>
                              <w:hideMark/>
                            </w:tcPr>
                            <w:p w14:paraId="7C81B67E" w14:textId="77777777" w:rsidR="005A6BA2" w:rsidRDefault="005A6BA2">
                              <w:pPr>
                                <w:pStyle w:val="Heading3"/>
                                <w:rPr>
                                  <w:rFonts w:ascii="Arial" w:eastAsia="Times New Roman" w:hAnsi="Arial" w:cs="Arial"/>
                                  <w:color w:val="808080"/>
                                  <w:sz w:val="30"/>
                                  <w:szCs w:val="30"/>
                                </w:rPr>
                              </w:pPr>
                              <w:r>
                                <w:rPr>
                                  <w:rFonts w:ascii="Arial" w:eastAsia="Times New Roman" w:hAnsi="Arial" w:cs="Arial"/>
                                  <w:color w:val="FFFFFF"/>
                                  <w:sz w:val="21"/>
                                  <w:szCs w:val="21"/>
                                </w:rPr>
                                <w:t>Billy Chansombath</w:t>
                              </w:r>
                              <w:r>
                                <w:rPr>
                                  <w:rFonts w:ascii="Arial" w:eastAsia="Times New Roman" w:hAnsi="Arial" w:cs="Arial"/>
                                  <w:b/>
                                  <w:bCs/>
                                  <w:color w:val="FFFFFF"/>
                                  <w:sz w:val="21"/>
                                  <w:szCs w:val="21"/>
                                </w:rPr>
                                <w:br/>
                                <w:t>Dragados-Flatiron Joint Venture</w:t>
                              </w:r>
                              <w:r>
                                <w:rPr>
                                  <w:rFonts w:ascii="Arial" w:eastAsia="Times New Roman" w:hAnsi="Arial" w:cs="Arial"/>
                                  <w:b/>
                                  <w:bCs/>
                                  <w:color w:val="FFFFFF"/>
                                  <w:sz w:val="21"/>
                                  <w:szCs w:val="21"/>
                                </w:rPr>
                                <w:br/>
                                <w:t>(844) 746-3358</w:t>
                              </w:r>
                              <w:hyperlink r:id="rId12" w:history="1">
                                <w:r>
                                  <w:rPr>
                                    <w:rStyle w:val="Hyperlink"/>
                                    <w:rFonts w:ascii="Arial" w:eastAsia="Times New Roman" w:hAnsi="Arial" w:cs="Arial"/>
                                    <w:color w:val="FFFFFF"/>
                                    <w:sz w:val="21"/>
                                    <w:szCs w:val="21"/>
                                  </w:rPr>
                                  <w:t>​</w:t>
                                </w:r>
                                <w:r>
                                  <w:rPr>
                                    <w:rFonts w:ascii="Arial" w:eastAsia="Times New Roman" w:hAnsi="Arial" w:cs="Arial"/>
                                    <w:color w:val="FFFFFF"/>
                                    <w:sz w:val="21"/>
                                    <w:szCs w:val="21"/>
                                    <w:u w:val="single"/>
                                  </w:rPr>
                                  <w:br/>
                                </w:r>
                                <w:r>
                                  <w:rPr>
                                    <w:rStyle w:val="Hyperlink"/>
                                    <w:rFonts w:ascii="Arial" w:eastAsia="Times New Roman" w:hAnsi="Arial" w:cs="Arial"/>
                                    <w:color w:val="FFFFFF"/>
                                    <w:sz w:val="21"/>
                                    <w:szCs w:val="21"/>
                                  </w:rPr>
                                  <w:t>PIM@DFCP23.com</w:t>
                                </w:r>
                              </w:hyperlink>
                            </w:p>
                          </w:tc>
                        </w:tr>
                      </w:tbl>
                      <w:p w14:paraId="7CF63315" w14:textId="77777777" w:rsidR="005A6BA2" w:rsidRDefault="005A6BA2">
                        <w:pPr>
                          <w:rPr>
                            <w:rFonts w:ascii="Times New Roman" w:eastAsia="Times New Roman" w:hAnsi="Times New Roman" w:cs="Times New Roman"/>
                            <w:color w:val="auto"/>
                            <w:sz w:val="20"/>
                            <w:szCs w:val="20"/>
                          </w:rPr>
                        </w:pPr>
                      </w:p>
                    </w:tc>
                  </w:tr>
                </w:tbl>
                <w:p w14:paraId="4426D192" w14:textId="77777777" w:rsidR="005A6BA2" w:rsidRDefault="005A6BA2">
                  <w:pPr>
                    <w:rPr>
                      <w:rFonts w:ascii="Times New Roman" w:eastAsia="Times New Roman" w:hAnsi="Times New Roman" w:cs="Times New Roman"/>
                      <w:color w:val="auto"/>
                      <w:sz w:val="20"/>
                      <w:szCs w:val="20"/>
                    </w:rPr>
                  </w:pPr>
                </w:p>
              </w:tc>
            </w:tr>
          </w:tbl>
          <w:p w14:paraId="38435381" w14:textId="77777777" w:rsidR="005A6BA2" w:rsidRDefault="005A6BA2">
            <w:pPr>
              <w:rPr>
                <w:rFonts w:ascii="Times New Roman" w:eastAsia="Times New Roman" w:hAnsi="Times New Roman" w:cs="Times New Roman"/>
                <w:color w:val="auto"/>
                <w:sz w:val="20"/>
                <w:szCs w:val="20"/>
              </w:rPr>
            </w:pPr>
          </w:p>
        </w:tc>
      </w:tr>
    </w:tbl>
    <w:p w14:paraId="57D05DA0" w14:textId="77777777" w:rsidR="005A6BA2" w:rsidRDefault="005A6BA2" w:rsidP="005A6BA2"/>
    <w:sectPr w:rsidR="005A6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7F39"/>
    <w:multiLevelType w:val="multilevel"/>
    <w:tmpl w:val="17AC7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264F6"/>
    <w:multiLevelType w:val="multilevel"/>
    <w:tmpl w:val="EF5E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66F57"/>
    <w:multiLevelType w:val="multilevel"/>
    <w:tmpl w:val="6F4C4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9B6B6A"/>
    <w:multiLevelType w:val="multilevel"/>
    <w:tmpl w:val="2AB4B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BA2"/>
    <w:rsid w:val="00081890"/>
    <w:rsid w:val="005A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FF63"/>
  <w15:chartTrackingRefBased/>
  <w15:docId w15:val="{92DB9F38-E74A-4837-9688-310D16B1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BA2"/>
    <w:pPr>
      <w:spacing w:after="0" w:line="240" w:lineRule="auto"/>
    </w:pPr>
    <w:rPr>
      <w:rFonts w:ascii="Calibri" w:hAnsi="Calibri" w:cs="Calibri"/>
      <w:color w:val="000000"/>
    </w:rPr>
  </w:style>
  <w:style w:type="paragraph" w:styleId="Heading1">
    <w:name w:val="heading 1"/>
    <w:basedOn w:val="Normal"/>
    <w:next w:val="Normal"/>
    <w:link w:val="Heading1Char"/>
    <w:uiPriority w:val="9"/>
    <w:qFormat/>
    <w:rsid w:val="005A6B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5A6BA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A6BA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BA2"/>
    <w:rPr>
      <w:color w:val="0000FF"/>
      <w:u w:val="single"/>
    </w:rPr>
  </w:style>
  <w:style w:type="character" w:customStyle="1" w:styleId="Heading2Char">
    <w:name w:val="Heading 2 Char"/>
    <w:basedOn w:val="DefaultParagraphFont"/>
    <w:link w:val="Heading2"/>
    <w:uiPriority w:val="9"/>
    <w:semiHidden/>
    <w:rsid w:val="005A6BA2"/>
    <w:rPr>
      <w:rFonts w:ascii="Calibri" w:hAnsi="Calibri" w:cs="Calibri"/>
      <w:b/>
      <w:bCs/>
      <w:color w:val="000000"/>
      <w:sz w:val="36"/>
      <w:szCs w:val="36"/>
    </w:rPr>
  </w:style>
  <w:style w:type="character" w:customStyle="1" w:styleId="Heading1Char">
    <w:name w:val="Heading 1 Char"/>
    <w:basedOn w:val="DefaultParagraphFont"/>
    <w:link w:val="Heading1"/>
    <w:uiPriority w:val="9"/>
    <w:rsid w:val="005A6BA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A6BA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295">
      <w:bodyDiv w:val="1"/>
      <w:marLeft w:val="0"/>
      <w:marRight w:val="0"/>
      <w:marTop w:val="0"/>
      <w:marBottom w:val="0"/>
      <w:divBdr>
        <w:top w:val="none" w:sz="0" w:space="0" w:color="auto"/>
        <w:left w:val="none" w:sz="0" w:space="0" w:color="auto"/>
        <w:bottom w:val="none" w:sz="0" w:space="0" w:color="auto"/>
        <w:right w:val="none" w:sz="0" w:space="0" w:color="auto"/>
      </w:divBdr>
    </w:div>
    <w:div w:id="1172913943">
      <w:bodyDiv w:val="1"/>
      <w:marLeft w:val="0"/>
      <w:marRight w:val="0"/>
      <w:marTop w:val="0"/>
      <w:marBottom w:val="0"/>
      <w:divBdr>
        <w:top w:val="none" w:sz="0" w:space="0" w:color="auto"/>
        <w:left w:val="none" w:sz="0" w:space="0" w:color="auto"/>
        <w:bottom w:val="none" w:sz="0" w:space="0" w:color="auto"/>
        <w:right w:val="none" w:sz="0" w:space="0" w:color="auto"/>
      </w:divBdr>
    </w:div>
    <w:div w:id="1731880884">
      <w:bodyDiv w:val="1"/>
      <w:marLeft w:val="0"/>
      <w:marRight w:val="0"/>
      <w:marTop w:val="0"/>
      <w:marBottom w:val="0"/>
      <w:divBdr>
        <w:top w:val="none" w:sz="0" w:space="0" w:color="auto"/>
        <w:left w:val="none" w:sz="0" w:space="0" w:color="auto"/>
        <w:bottom w:val="none" w:sz="0" w:space="0" w:color="auto"/>
        <w:right w:val="none" w:sz="0" w:space="0" w:color="auto"/>
      </w:divBdr>
    </w:div>
    <w:div w:id="19204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click.hsr-email.com%2F%3Fqs%3Dbe761e6180dec89744577f9ad38861b467a13a9a64a7b5a451954b5d5308181318c7a7c32bf60b796972db399121730534066ff8b3f341db&amp;data=04%7C01%7Cmvaidya%40dfcp23.com%7C86e6de7c0dae43e7177408d8fee1fc6c%7Cb0532e33ff1c41788c3619bd3a2bbc86%7C0%7C0%7C637539593845152304%7CUnknown%7CTWFpbGZsb3d8eyJWIjoiMC4wLjAwMDAiLCJQIjoiV2luMzIiLCJBTiI6Ik1haWwiLCJXVCI6Mn0%3D%7C1000&amp;sdata=jjQ%2FER2SsudYzhEbxISk8ajMcEo%2BVcGMln8Jyc%2BX3DU%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PIM@DFCP23.com?sub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Toni.Tinoco@hsr.ca.gov?subject=" TargetMode="External"/><Relationship Id="rId5" Type="http://schemas.openxmlformats.org/officeDocument/2006/relationships/image" Target="media/image1.jpeg"/><Relationship Id="rId10" Type="http://schemas.openxmlformats.org/officeDocument/2006/relationships/hyperlink" Target="https://nam12.safelinks.protection.outlook.com/?url=http%3A%2F%2Fclick.hsr-email.com%2F%3Fqs%3Dbe761e6180dec89716434cca7a87b5e33b983ca89a4f2dd194788f3b635e45fe98dcf69a75d99c84fc48d1db6765b611918fec2932e12169&amp;data=04%7C01%7Cmvaidya%40dfcp23.com%7C86e6de7c0dae43e7177408d8fee1fc6c%7Cb0532e33ff1c41788c3619bd3a2bbc86%7C0%7C0%7C637539593845162251%7CUnknown%7CTWFpbGZsb3d8eyJWIjoiMC4wLjAwMDAiLCJQIjoiV2luMzIiLCJBTiI6Ik1haWwiLCJXVCI6Mn0%3D%7C1000&amp;sdata=3Sn43RRw6u6Wggm1D4DED4gHFIZq3XKbZ0MNeYYV%2FQ0%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click.hsr-email.com%2F%3Fqs%3Dbe761e6180dec89757a29e7114e5804b7db3c92776f7cdf398ca3d46dfa33533977f7fc75bb3c8b42ea99affc1f235a34d86538366ea4cb6&amp;data=04%7C01%7Cmvaidya%40dfcp23.com%7C86e6de7c0dae43e7177408d8fee1fc6c%7Cb0532e33ff1c41788c3619bd3a2bbc86%7C0%7C0%7C637539593845162251%7CUnknown%7CTWFpbGZsb3d8eyJWIjoiMC4wLjAwMDAiLCJQIjoiV2luMzIiLCJBTiI6Ik1haWwiLCJXVCI6Mn0%3D%7C1000&amp;sdata=%2F13R7keHDkaiqmseK56xeHL2AgnMd98PB0%2BHJO%2FdEAI%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Vaidya, Mike</dc:creator>
  <cp:keywords/>
  <dc:description/>
  <cp:lastModifiedBy>Vaidya, Mike</cp:lastModifiedBy>
  <cp:revision>1</cp:revision>
  <dcterms:created xsi:type="dcterms:W3CDTF">2021-04-30T22:38:00Z</dcterms:created>
  <dcterms:modified xsi:type="dcterms:W3CDTF">2021-04-30T22:40:00Z</dcterms:modified>
</cp:coreProperties>
</file>